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26" w:rsidRPr="00762A69" w:rsidRDefault="00872326" w:rsidP="00872326">
      <w:pPr>
        <w:spacing w:after="0" w:line="240" w:lineRule="auto"/>
        <w:contextualSpacing/>
        <w:jc w:val="center"/>
        <w:rPr>
          <w:rFonts w:ascii="PT Astra Serif" w:hAnsi="PT Astra Serif"/>
          <w:b/>
          <w:spacing w:val="-2"/>
          <w:sz w:val="24"/>
          <w:szCs w:val="24"/>
        </w:rPr>
      </w:pPr>
      <w:r w:rsidRPr="00762A69">
        <w:rPr>
          <w:rFonts w:ascii="PT Astra Serif" w:hAnsi="PT Astra Serif"/>
          <w:b/>
          <w:spacing w:val="-2"/>
          <w:sz w:val="24"/>
          <w:szCs w:val="24"/>
        </w:rPr>
        <w:t xml:space="preserve">Таблица 3. </w:t>
      </w:r>
      <w:r w:rsidRPr="00762A69">
        <w:rPr>
          <w:rFonts w:ascii="PT Astra Serif" w:eastAsia="Arial" w:hAnsi="PT Astra Serif" w:cs="PT Astra Serif"/>
          <w:b/>
          <w:color w:val="000000"/>
          <w:sz w:val="24"/>
          <w:szCs w:val="24"/>
        </w:rPr>
        <w:t xml:space="preserve">Исчерпывающий перечень оснований для отказа в приеме </w:t>
      </w:r>
      <w:r>
        <w:rPr>
          <w:rFonts w:ascii="PT Astra Serif" w:eastAsia="Arial" w:hAnsi="PT Astra Serif" w:cs="PT Astra Serif"/>
          <w:b/>
          <w:color w:val="000000"/>
          <w:sz w:val="24"/>
          <w:szCs w:val="24"/>
        </w:rPr>
        <w:t>запроса</w:t>
      </w:r>
      <w:r w:rsidRPr="00762A69">
        <w:rPr>
          <w:rFonts w:ascii="PT Astra Serif" w:eastAsia="Arial" w:hAnsi="PT Astra Serif" w:cs="PT Astra Serif"/>
          <w:b/>
          <w:color w:val="000000"/>
          <w:sz w:val="24"/>
          <w:szCs w:val="24"/>
        </w:rPr>
        <w:t xml:space="preserve"> о предоставлении </w:t>
      </w:r>
      <w:r>
        <w:rPr>
          <w:rFonts w:ascii="PT Astra Serif" w:eastAsia="Arial" w:hAnsi="PT Astra Serif" w:cs="PT Astra Serif"/>
          <w:b/>
          <w:color w:val="000000"/>
          <w:sz w:val="24"/>
          <w:szCs w:val="24"/>
        </w:rPr>
        <w:t>У</w:t>
      </w:r>
      <w:r w:rsidRPr="00762A69">
        <w:rPr>
          <w:rFonts w:ascii="PT Astra Serif" w:eastAsia="Arial" w:hAnsi="PT Astra Serif" w:cs="PT Astra Serif"/>
          <w:b/>
          <w:color w:val="000000"/>
          <w:sz w:val="24"/>
          <w:szCs w:val="24"/>
        </w:rPr>
        <w:t>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872326" w:rsidRPr="00762A69" w:rsidRDefault="00872326" w:rsidP="00872326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pacing w:val="-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3"/>
        <w:gridCol w:w="4762"/>
      </w:tblGrid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E4350B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E4350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Перечень оснований для физических лиц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E4350B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E4350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Перечень оснований для юридических  лиц</w:t>
            </w:r>
          </w:p>
        </w:tc>
        <w:bookmarkStart w:id="0" w:name="_GoBack"/>
        <w:bookmarkEnd w:id="0"/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запроса</w:t>
            </w: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о предоставлении услуги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запроса</w:t>
            </w: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о предоставлении услуги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и документов законодательством Российской Федерации не предусмотрены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и документов законодательством Российской Федерации не предусмотрены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Основания для приостановления предоставления Услуги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Основания для приостановления предоставления Услуги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Основания для отказа в предоставлении Услуги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354065" w:rsidRDefault="00872326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35406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Основания для отказа в предоставлении Услуги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а) полномочия представителя заявителя не подтверждены;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а) полномочия представителя заявителя не подтверждены;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б)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 поддается прочтению;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б)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 поддается прочтению;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в) ответ по существу указанной в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 (или) конфиденциальную информацию);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в) ответ по существу указанной в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 (или) конфиденциальную информацию);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г)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касается темы (вопроса), в отношении которой заявителю ранее многократно давались письменные ответы по существу, и при этом не приводятся новые доводы или обстоятельства. Директор государственного архива или уполномоченное лицо вправе принять решение о безосновательности очередного обращения и прекращении переписки по данному 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просу при условии, что указанный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и ранее направляемые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запросы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направлялись в один и тот же государственный архив;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г)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касается темы (вопроса), в отношении которой заявителю ранее многократно давались письменные ответы по существу, и при этом не приводятся новые доводы или обстоятельства. Директор государственного архива или уполномоченное лицо вправе принять решение о безосновательности очередного обращения и прекращении переписки по данному вопросу при условии, ч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то указанный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и ранее направляемые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запросы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направлялись в один и тот же государственный архив;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д) в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содержатся нецензурные либо оскорбительные выражения, угрозы жизни, здоровью и имуществу специалистов государственных архивов, а также членов их 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семей;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 xml:space="preserve">д) в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содержатся нецензурные либо оскорбительные выражения, угрозы жизни, здоровью и имуществу специалистов государственных архивов, а также членов их 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семей;</w:t>
            </w:r>
          </w:p>
        </w:tc>
      </w:tr>
      <w:tr w:rsidR="00872326" w:rsidRPr="00762A69" w:rsidTr="00C86CD9"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widowControl w:val="0"/>
              <w:ind w:right="20"/>
              <w:contextualSpacing/>
              <w:jc w:val="both"/>
              <w:rPr>
                <w:rFonts w:ascii="PT Astra Serif" w:hAnsi="PT Astra Serif"/>
                <w:strike/>
                <w:color w:val="FF0000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      </w:r>
          </w:p>
        </w:tc>
        <w:tc>
          <w:tcPr>
            <w:tcW w:w="47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2326" w:rsidRPr="00762A69" w:rsidRDefault="00872326" w:rsidP="001B0302">
            <w:pPr>
              <w:widowControl w:val="0"/>
              <w:ind w:right="20"/>
              <w:contextualSpacing/>
              <w:jc w:val="both"/>
              <w:rPr>
                <w:rFonts w:ascii="PT Astra Serif" w:hAnsi="PT Astra Serif"/>
                <w:strike/>
                <w:color w:val="FF0000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е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      </w:r>
          </w:p>
        </w:tc>
      </w:tr>
    </w:tbl>
    <w:p w:rsidR="00A71C51" w:rsidRPr="00872326" w:rsidRDefault="00C86CD9" w:rsidP="00872326"/>
    <w:sectPr w:rsidR="00A71C51" w:rsidRPr="00872326" w:rsidSect="008723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6E"/>
    <w:rsid w:val="00131D3A"/>
    <w:rsid w:val="002F3869"/>
    <w:rsid w:val="004E01BF"/>
    <w:rsid w:val="00872326"/>
    <w:rsid w:val="00AB536E"/>
    <w:rsid w:val="00C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97FBF-0D5A-4D4A-8101-C26BA7ED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AAT-2</cp:lastModifiedBy>
  <cp:revision>4</cp:revision>
  <dcterms:created xsi:type="dcterms:W3CDTF">2025-08-06T10:26:00Z</dcterms:created>
  <dcterms:modified xsi:type="dcterms:W3CDTF">2025-08-08T11:01:00Z</dcterms:modified>
</cp:coreProperties>
</file>